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4732" w14:textId="3E604F5D" w:rsidR="0053544F" w:rsidRDefault="00ED03B5" w:rsidP="2D2474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5261B1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2462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3B2D" w14:textId="6D960AEC" w:rsidR="00CE769F" w:rsidRDefault="00CE769F" w:rsidP="00CE76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90E59F" w14:textId="77777777" w:rsidR="00CE769F" w:rsidRDefault="00CE769F" w:rsidP="00CE76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6C5C80D" w14:textId="77777777" w:rsidR="00CE769F" w:rsidRDefault="00CE769F" w:rsidP="00CE76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C98528B" w14:textId="77777777" w:rsidR="00CE769F" w:rsidRDefault="00CE769F" w:rsidP="00CE76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14:paraId="3AA384B3" w14:textId="77777777" w:rsidR="00CE769F" w:rsidRDefault="00CE769F" w:rsidP="00CE76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14:paraId="2E269794" w14:textId="77777777" w:rsidR="00CE769F" w:rsidRDefault="00CE769F" w:rsidP="00CE76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14:paraId="0ABE782D" w14:textId="189D8222" w:rsidR="00CE769F" w:rsidRDefault="00CE7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C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513.7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Cb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ubFbFHMKeHoy2/yVbGcpz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">
                <v:textbox>
                  <w:txbxContent>
                    <w:p w14:paraId="15DE3B2D" w14:textId="6D960AEC" w:rsidR="00CE769F" w:rsidRDefault="00CE769F" w:rsidP="00CE76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90E59F" w14:textId="77777777" w:rsidR="00CE769F" w:rsidRDefault="00CE769F" w:rsidP="00CE76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14:paraId="16C5C80D" w14:textId="77777777" w:rsidR="00CE769F" w:rsidRDefault="00CE769F" w:rsidP="00CE76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14:paraId="3C98528B" w14:textId="77777777" w:rsidR="00CE769F" w:rsidRDefault="00CE769F" w:rsidP="00CE76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14:paraId="3AA384B3" w14:textId="77777777" w:rsidR="00CE769F" w:rsidRDefault="00CE769F" w:rsidP="00CE76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14:paraId="2E269794" w14:textId="77777777" w:rsidR="00CE769F" w:rsidRDefault="00CE769F" w:rsidP="00CE76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14:paraId="0ABE782D" w14:textId="189D8222" w:rsidR="00CE769F" w:rsidRDefault="00CE769F"/>
                  </w:txbxContent>
                </v:textbox>
                <w10:wrap type="square" anchorx="margin"/>
              </v:shape>
            </w:pict>
          </mc:Fallback>
        </mc:AlternateContent>
      </w:r>
    </w:p>
    <w:p w14:paraId="1644CDB1" w14:textId="77777777" w:rsidR="00FF37C0" w:rsidRPr="00FF37C0" w:rsidRDefault="00FF37C0" w:rsidP="00FF37C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F37C0">
        <w:rPr>
          <w:rFonts w:ascii="Arial" w:hAnsi="Arial" w:cs="Arial"/>
          <w:b/>
          <w:sz w:val="28"/>
          <w:szCs w:val="28"/>
        </w:rPr>
        <w:t>Safeguarding children - Whistleblowing</w:t>
      </w:r>
    </w:p>
    <w:p w14:paraId="6893CB33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Policy statement</w:t>
      </w:r>
    </w:p>
    <w:p w14:paraId="61DDCEBC" w14:textId="6330ED49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Employees are often the first to realise that there may be something seriously wrong within their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setting, however, they may not express their growing concern because they feel that speaking up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would be disloyal to their colleague. They may also fear harassment or victimisation. In these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circumstances, it may be easier to ignore the concern rather than report what may be just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suspicion of malpractice and wrongdoing at work.</w:t>
      </w:r>
    </w:p>
    <w:p w14:paraId="35FAFFB2" w14:textId="50344BA8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Congresbury Community Preschool</w:t>
      </w:r>
      <w:r w:rsidRPr="00FF37C0">
        <w:rPr>
          <w:rFonts w:ascii="Arial" w:hAnsi="Arial" w:cs="Arial"/>
          <w:bCs/>
        </w:rPr>
        <w:t xml:space="preserve"> is committed to the highest possible standards of openness,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honesty and accountability. In line with that commitment we encourage employees and others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with genuine serious concerns about any aspect of the settings operations to come forward and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voice those concerns. This policy makes it clear that employees, parents/carers and others can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do so without fear of reprisals. The Whistleblowing policy is intended to encourage and enable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 xml:space="preserve">employees and others to raise such concerns within </w:t>
      </w:r>
      <w:r>
        <w:rPr>
          <w:rFonts w:ascii="Arial" w:hAnsi="Arial" w:cs="Arial"/>
          <w:bCs/>
        </w:rPr>
        <w:t>Congresbury</w:t>
      </w:r>
      <w:r w:rsidRPr="00FF37C0">
        <w:rPr>
          <w:rFonts w:ascii="Arial" w:hAnsi="Arial" w:cs="Arial"/>
          <w:bCs/>
        </w:rPr>
        <w:t xml:space="preserve"> Community Preschool rather than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overlooking the problem.</w:t>
      </w:r>
    </w:p>
    <w:p w14:paraId="79302946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Aims</w:t>
      </w:r>
    </w:p>
    <w:p w14:paraId="47AC6BEC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This policy aims to</w:t>
      </w:r>
    </w:p>
    <w:p w14:paraId="0BFBC263" w14:textId="2741C2D2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Provide avenues for you raise genuine concerns and received feedback on any action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taken.</w:t>
      </w:r>
    </w:p>
    <w:p w14:paraId="545CFBCC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Allow you to take the matter further if you are dissatisfied with the outcome or response.</w:t>
      </w:r>
    </w:p>
    <w:p w14:paraId="14A77CC0" w14:textId="2AFF2D7E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Reassure you those steps will be taken to protect you from reprisals and victimisation for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whistleblowing in good faith.</w:t>
      </w:r>
    </w:p>
    <w:p w14:paraId="0730C551" w14:textId="60FFDACF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This Whistleblowing policy is intended to cover genuine concerns that fall outside the scope of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other procedures. That concern may be about something that:</w:t>
      </w:r>
    </w:p>
    <w:p w14:paraId="750E783C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Is against the policies and procedures of the preschool</w:t>
      </w:r>
    </w:p>
    <w:p w14:paraId="47277E66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 xml:space="preserve">- Falls below established standards of practice. </w:t>
      </w:r>
    </w:p>
    <w:p w14:paraId="5128D869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Amounts to improper conduct</w:t>
      </w:r>
    </w:p>
    <w:p w14:paraId="27030751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Is a Health and Safety risk, including risks to the public as well as children, other</w:t>
      </w:r>
    </w:p>
    <w:p w14:paraId="3A3C79BB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lastRenderedPageBreak/>
        <w:t>colleagues, parents/carers and others</w:t>
      </w:r>
    </w:p>
    <w:p w14:paraId="3D16C377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Contributes to a safeguarding risk involving children in the preschool care.</w:t>
      </w:r>
    </w:p>
    <w:p w14:paraId="44083D97" w14:textId="346E9A6B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The procedure will be communicated to all employees as well as parents/carers, students and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others.</w:t>
      </w:r>
    </w:p>
    <w:p w14:paraId="68E3994A" w14:textId="76C5F93E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 xml:space="preserve"> The first step is to report the concern to the preschool leader. This may, however depend</w:t>
      </w:r>
      <w:r>
        <w:rPr>
          <w:rFonts w:ascii="Arial" w:hAnsi="Arial" w:cs="Arial"/>
          <w:bCs/>
        </w:rPr>
        <w:t xml:space="preserve">, </w:t>
      </w:r>
      <w:r w:rsidRPr="00FF37C0">
        <w:rPr>
          <w:rFonts w:ascii="Arial" w:hAnsi="Arial" w:cs="Arial"/>
          <w:bCs/>
        </w:rPr>
        <w:t>upon the seriousness and sensitivity of the issues involved and who is suspected of any</w:t>
      </w:r>
      <w:r>
        <w:rPr>
          <w:rFonts w:ascii="Arial" w:hAnsi="Arial" w:cs="Arial"/>
          <w:bCs/>
        </w:rPr>
        <w:t xml:space="preserve">, </w:t>
      </w:r>
      <w:r w:rsidRPr="00FF37C0">
        <w:rPr>
          <w:rFonts w:ascii="Arial" w:hAnsi="Arial" w:cs="Arial"/>
          <w:bCs/>
        </w:rPr>
        <w:t>wrongdoing. If you believe that the Preschool Manager is involved you should take your</w:t>
      </w:r>
      <w:r>
        <w:rPr>
          <w:rFonts w:ascii="Arial" w:hAnsi="Arial" w:cs="Arial"/>
          <w:bCs/>
        </w:rPr>
        <w:t xml:space="preserve">, </w:t>
      </w:r>
      <w:r w:rsidRPr="00FF37C0">
        <w:rPr>
          <w:rFonts w:ascii="Arial" w:hAnsi="Arial" w:cs="Arial"/>
          <w:bCs/>
        </w:rPr>
        <w:t xml:space="preserve">concerns to the Chair of the Preschool Committee, </w:t>
      </w:r>
      <w:r>
        <w:rPr>
          <w:rFonts w:ascii="Arial" w:hAnsi="Arial" w:cs="Arial"/>
          <w:bCs/>
        </w:rPr>
        <w:t xml:space="preserve">Jo Underwood. </w:t>
      </w:r>
    </w:p>
    <w:p w14:paraId="7E7CAAA8" w14:textId="7D23F9C1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 xml:space="preserve">Concerns may be raised verbally or in </w:t>
      </w:r>
      <w:proofErr w:type="gramStart"/>
      <w:r w:rsidRPr="00FF37C0">
        <w:rPr>
          <w:rFonts w:ascii="Arial" w:hAnsi="Arial" w:cs="Arial"/>
          <w:bCs/>
        </w:rPr>
        <w:t>writing, and</w:t>
      </w:r>
      <w:proofErr w:type="gramEnd"/>
      <w:r w:rsidRPr="00FF37C0">
        <w:rPr>
          <w:rFonts w:ascii="Arial" w:hAnsi="Arial" w:cs="Arial"/>
          <w:bCs/>
        </w:rPr>
        <w:t xml:space="preserve"> will be treated in confidence.</w:t>
      </w:r>
    </w:p>
    <w:p w14:paraId="35D0C65A" w14:textId="78E8AD4C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Staff who wish to make a written report are advised to set out the background and history of</w:t>
      </w:r>
      <w:r>
        <w:rPr>
          <w:rFonts w:ascii="Arial" w:hAnsi="Arial" w:cs="Arial"/>
          <w:bCs/>
        </w:rPr>
        <w:t xml:space="preserve">, </w:t>
      </w:r>
      <w:r w:rsidRPr="00FF37C0">
        <w:rPr>
          <w:rFonts w:ascii="Arial" w:hAnsi="Arial" w:cs="Arial"/>
          <w:bCs/>
        </w:rPr>
        <w:t>the concern, giving names, dates and places, where possible and the reasons for the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disclosure. (Although a member of staff is not expected to prove beyond doubt the truth of the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allegation, they will need to demonstrate that they have an honest and reasonable suspicion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that malpractice has occurred, is occurring or is likely to occur).</w:t>
      </w:r>
    </w:p>
    <w:p w14:paraId="557B4041" w14:textId="0FE53BCF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In order to protect a member of staff who raises a concern and those accused of wrong-doing,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initial enquiries will be made to decide whether an investigation is appropriate and if so, what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form it should take.</w:t>
      </w:r>
    </w:p>
    <w:p w14:paraId="745CEB61" w14:textId="4B92FF95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Some concerns may be resolved by agreed action without the need for investigation.</w:t>
      </w:r>
    </w:p>
    <w:p w14:paraId="2BBEEC6A" w14:textId="4F207713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 xml:space="preserve">If urgent action is </w:t>
      </w:r>
      <w:proofErr w:type="gramStart"/>
      <w:r w:rsidRPr="00FF37C0">
        <w:rPr>
          <w:rFonts w:ascii="Arial" w:hAnsi="Arial" w:cs="Arial"/>
          <w:bCs/>
        </w:rPr>
        <w:t>required</w:t>
      </w:r>
      <w:proofErr w:type="gramEnd"/>
      <w:r w:rsidRPr="00FF37C0">
        <w:rPr>
          <w:rFonts w:ascii="Arial" w:hAnsi="Arial" w:cs="Arial"/>
          <w:bCs/>
        </w:rPr>
        <w:t xml:space="preserve"> this will be taken before any investigation is conducted.</w:t>
      </w:r>
    </w:p>
    <w:p w14:paraId="163766CE" w14:textId="69470989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Staff will be told how the preschool proposes to deal with a concern within 10 working days of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the issue being raised.</w:t>
      </w:r>
    </w:p>
    <w:p w14:paraId="3AC5FBA9" w14:textId="7467FD20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The preschool will make every effort not to reveal the identity of anyone raising a concern in</w:t>
      </w:r>
      <w:r w:rsidRPr="00FF37C0"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good faith, however, at the appropriate time a member of staff may need to come forward as a</w:t>
      </w:r>
      <w:r w:rsidRPr="00FF37C0"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 xml:space="preserve">witness. </w:t>
      </w:r>
    </w:p>
    <w:p w14:paraId="0EBEDEC7" w14:textId="7F292951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If an allegation is not confirmed by the investigation but made in good faith then no action will</w:t>
      </w:r>
      <w:r w:rsidRPr="00FF37C0"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be taken against the complainant, however if a member of staff makes an allegation frivolously,</w:t>
      </w:r>
      <w:r w:rsidRPr="00FF37C0"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maliciously or for personal gain then they may be subject to disciplinary action.</w:t>
      </w:r>
    </w:p>
    <w:p w14:paraId="4B75410C" w14:textId="7F2604C8" w:rsidR="00FF37C0" w:rsidRPr="00FF37C0" w:rsidRDefault="00FF37C0" w:rsidP="00FF37C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You must not:</w:t>
      </w:r>
    </w:p>
    <w:p w14:paraId="78C15C78" w14:textId="77777777" w:rsid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Investigate the matter yourself.</w:t>
      </w:r>
    </w:p>
    <w:p w14:paraId="6D3CD47F" w14:textId="3CB4A241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Alert those suspected of being involved</w:t>
      </w:r>
    </w:p>
    <w:p w14:paraId="51B0F81C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Tell anyone other than the designated persons (</w:t>
      </w:r>
      <w:proofErr w:type="spellStart"/>
      <w:r w:rsidRPr="00FF37C0">
        <w:rPr>
          <w:rFonts w:ascii="Arial" w:hAnsi="Arial" w:cs="Arial"/>
          <w:bCs/>
        </w:rPr>
        <w:t>ie</w:t>
      </w:r>
      <w:proofErr w:type="spellEnd"/>
      <w:r w:rsidRPr="00FF37C0">
        <w:rPr>
          <w:rFonts w:ascii="Arial" w:hAnsi="Arial" w:cs="Arial"/>
          <w:bCs/>
        </w:rPr>
        <w:t xml:space="preserve"> Preschool Manager /Committee Chair)</w:t>
      </w:r>
    </w:p>
    <w:p w14:paraId="499BA993" w14:textId="7A37E61A" w:rsidR="00FF37C0" w:rsidRPr="00FF37C0" w:rsidRDefault="00FF37C0" w:rsidP="00FF37C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External bodies to whom a concern can be reported in the absence of confidence in the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preschool manager and committee include:</w:t>
      </w:r>
    </w:p>
    <w:p w14:paraId="71DF8D4C" w14:textId="442CB954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Ofsted (if the concern is about the safe and efficient running of the setting) – 0300 123</w:t>
      </w:r>
      <w:r>
        <w:rPr>
          <w:rFonts w:ascii="Arial" w:hAnsi="Arial" w:cs="Arial"/>
          <w:bCs/>
        </w:rPr>
        <w:t xml:space="preserve"> </w:t>
      </w:r>
      <w:r w:rsidRPr="00FF37C0">
        <w:rPr>
          <w:rFonts w:ascii="Arial" w:hAnsi="Arial" w:cs="Arial"/>
          <w:bCs/>
        </w:rPr>
        <w:t>3155 (Monday to Friday 8.00am to 6.00pm) or Email whistleblowing@ofsted.gov.uk</w:t>
      </w:r>
    </w:p>
    <w:p w14:paraId="283C8C54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The Local Authority Designated Officer or the Local Safeguarding Children’s Board (if the</w:t>
      </w:r>
    </w:p>
    <w:p w14:paraId="35E045C3" w14:textId="46D3C6CE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lastRenderedPageBreak/>
        <w:t xml:space="preserve">concern is a child protection issue). </w:t>
      </w:r>
      <w:r w:rsidR="00A711B5">
        <w:rPr>
          <w:rFonts w:ascii="Arial" w:hAnsi="Arial" w:cs="Arial"/>
          <w:bCs/>
        </w:rPr>
        <w:t>01275 888211</w:t>
      </w:r>
    </w:p>
    <w:p w14:paraId="77E11C1C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The police (if a crime is thought to have been committed.</w:t>
      </w:r>
    </w:p>
    <w:p w14:paraId="120048F3" w14:textId="77777777" w:rsidR="00FF37C0" w:rsidRPr="00FF37C0" w:rsidRDefault="00FF37C0" w:rsidP="00FF37C0">
      <w:pPr>
        <w:spacing w:line="360" w:lineRule="auto"/>
        <w:rPr>
          <w:rFonts w:ascii="Arial" w:hAnsi="Arial" w:cs="Arial"/>
          <w:bCs/>
        </w:rPr>
      </w:pPr>
      <w:r w:rsidRPr="00FF37C0">
        <w:rPr>
          <w:rFonts w:ascii="Arial" w:hAnsi="Arial" w:cs="Arial"/>
          <w:bCs/>
        </w:rPr>
        <w:t>- The Whistleblowing charity PCAW (Public concern at work) for advice.</w:t>
      </w:r>
    </w:p>
    <w:p w14:paraId="2FFB3F9C" w14:textId="77777777" w:rsidR="00FF37C0" w:rsidRPr="00A711B5" w:rsidRDefault="00FF37C0" w:rsidP="00FF37C0">
      <w:pPr>
        <w:spacing w:line="360" w:lineRule="auto"/>
        <w:rPr>
          <w:rFonts w:ascii="Arial" w:hAnsi="Arial" w:cs="Arial"/>
          <w:b/>
          <w:i/>
          <w:iCs/>
        </w:rPr>
      </w:pPr>
      <w:r w:rsidRPr="00A711B5">
        <w:rPr>
          <w:rFonts w:ascii="Arial" w:hAnsi="Arial" w:cs="Arial"/>
          <w:b/>
          <w:i/>
          <w:iCs/>
        </w:rPr>
        <w:t>Legal framework</w:t>
      </w:r>
    </w:p>
    <w:p w14:paraId="6660C0D8" w14:textId="77777777" w:rsid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Children Act (1989 s47)</w:t>
      </w:r>
    </w:p>
    <w:p w14:paraId="020EE361" w14:textId="20AEA0EF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Protection of Children Act (1999)</w:t>
      </w:r>
    </w:p>
    <w:p w14:paraId="1035AFBF" w14:textId="5FFBB0E3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Data Protection Act (1998)</w:t>
      </w:r>
    </w:p>
    <w:p w14:paraId="76A3EC02" w14:textId="72A81E11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The Children Act (Every Child Matters) (2004)</w:t>
      </w:r>
    </w:p>
    <w:p w14:paraId="09A1ED5C" w14:textId="43E58E0A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Safeguarding Vulnerable Groups Act (2006)</w:t>
      </w:r>
    </w:p>
    <w:p w14:paraId="241B93CD" w14:textId="49D4BB31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Sexual Offences Act (2003)</w:t>
      </w:r>
    </w:p>
    <w:p w14:paraId="5101EDD9" w14:textId="7C3BA0B8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Criminal Justice and Court Services Act (2000)</w:t>
      </w:r>
    </w:p>
    <w:p w14:paraId="520E7785" w14:textId="6FDF0170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Human Rights Act (1999)</w:t>
      </w:r>
    </w:p>
    <w:p w14:paraId="100C136B" w14:textId="160775B9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Race Relations (Amendment) Act (2000)</w:t>
      </w:r>
    </w:p>
    <w:p w14:paraId="3A51AB24" w14:textId="1361A9FF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Race Relations (Amendment) Act (1976) Regulations</w:t>
      </w:r>
    </w:p>
    <w:p w14:paraId="6A1F518D" w14:textId="74CA312D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Equalities Act (2006)</w:t>
      </w:r>
    </w:p>
    <w:p w14:paraId="4E888762" w14:textId="676C922C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 xml:space="preserve">Data Protection Act (1998) </w:t>
      </w:r>
      <w:proofErr w:type="gramStart"/>
      <w:r w:rsidRPr="00A711B5">
        <w:rPr>
          <w:rFonts w:ascii="Arial" w:hAnsi="Arial" w:cs="Arial"/>
          <w:bCs/>
          <w:i/>
          <w:iCs/>
        </w:rPr>
        <w:t>Non Statutory</w:t>
      </w:r>
      <w:proofErr w:type="gramEnd"/>
      <w:r w:rsidRPr="00A711B5">
        <w:rPr>
          <w:rFonts w:ascii="Arial" w:hAnsi="Arial" w:cs="Arial"/>
          <w:bCs/>
          <w:i/>
          <w:iCs/>
        </w:rPr>
        <w:t xml:space="preserve"> Guidance</w:t>
      </w:r>
    </w:p>
    <w:p w14:paraId="065F3CC3" w14:textId="77777777" w:rsidR="00A711B5" w:rsidRDefault="00A711B5" w:rsidP="00FF37C0">
      <w:pPr>
        <w:spacing w:line="360" w:lineRule="auto"/>
        <w:rPr>
          <w:rFonts w:ascii="Arial" w:hAnsi="Arial" w:cs="Arial"/>
          <w:b/>
          <w:i/>
          <w:iCs/>
        </w:rPr>
      </w:pPr>
    </w:p>
    <w:p w14:paraId="66BE896D" w14:textId="590A9767" w:rsidR="00FF37C0" w:rsidRPr="00A711B5" w:rsidRDefault="00FF37C0" w:rsidP="00FF37C0">
      <w:pPr>
        <w:spacing w:line="360" w:lineRule="auto"/>
        <w:rPr>
          <w:rFonts w:ascii="Arial" w:hAnsi="Arial" w:cs="Arial"/>
          <w:b/>
          <w:i/>
          <w:iCs/>
        </w:rPr>
      </w:pPr>
      <w:bookmarkStart w:id="0" w:name="_GoBack"/>
      <w:bookmarkEnd w:id="0"/>
      <w:r w:rsidRPr="00A711B5">
        <w:rPr>
          <w:rFonts w:ascii="Arial" w:hAnsi="Arial" w:cs="Arial"/>
          <w:b/>
          <w:i/>
          <w:iCs/>
        </w:rPr>
        <w:t>Guidance</w:t>
      </w:r>
    </w:p>
    <w:p w14:paraId="36AAF7BC" w14:textId="77777777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Working Together to Safeguard Children (revised 2006, 2013)</w:t>
      </w:r>
    </w:p>
    <w:p w14:paraId="57EEB8AB" w14:textId="77777777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What to do if worried about a child (ESCB)</w:t>
      </w:r>
    </w:p>
    <w:p w14:paraId="7C2F5BFF" w14:textId="77777777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The Framework for the Assessment of Children in Need and Their Families (2000)</w:t>
      </w:r>
    </w:p>
    <w:p w14:paraId="3FE94AB6" w14:textId="77777777" w:rsidR="00FF37C0" w:rsidRPr="00A711B5" w:rsidRDefault="00FF37C0" w:rsidP="00A711B5">
      <w:pPr>
        <w:spacing w:line="240" w:lineRule="auto"/>
        <w:rPr>
          <w:rFonts w:ascii="Arial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The Common Assessment Framework (2005)</w:t>
      </w:r>
    </w:p>
    <w:p w14:paraId="0AEDBD15" w14:textId="73E3F25E" w:rsidR="00955696" w:rsidRPr="00A711B5" w:rsidRDefault="00FF37C0" w:rsidP="00A711B5">
      <w:pPr>
        <w:spacing w:line="240" w:lineRule="auto"/>
        <w:rPr>
          <w:rFonts w:ascii="Arial" w:eastAsia="Times New Roman" w:hAnsi="Arial" w:cs="Arial"/>
          <w:bCs/>
          <w:i/>
          <w:iCs/>
        </w:rPr>
      </w:pPr>
      <w:r w:rsidRPr="00A711B5">
        <w:rPr>
          <w:rFonts w:ascii="Arial" w:hAnsi="Arial" w:cs="Arial"/>
          <w:bCs/>
          <w:i/>
          <w:iCs/>
        </w:rPr>
        <w:t>Statutory Framework for the Early Years Foundation Stage 2012</w:t>
      </w:r>
    </w:p>
    <w:sectPr w:rsidR="00955696" w:rsidRPr="00A711B5" w:rsidSect="0053544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038DA" w14:textId="77777777" w:rsidR="008C3E63" w:rsidRDefault="008C3E63" w:rsidP="00607D1C">
      <w:pPr>
        <w:spacing w:after="0" w:line="240" w:lineRule="auto"/>
      </w:pPr>
      <w:r>
        <w:separator/>
      </w:r>
    </w:p>
  </w:endnote>
  <w:endnote w:type="continuationSeparator" w:id="0">
    <w:p w14:paraId="0F66AF08" w14:textId="77777777" w:rsidR="008C3E63" w:rsidRDefault="008C3E63" w:rsidP="0060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6EF4" w14:textId="77777777" w:rsidR="008336D9" w:rsidRDefault="0083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41A54" w14:textId="77777777" w:rsidR="008C3E63" w:rsidRDefault="008C3E63" w:rsidP="00607D1C">
      <w:pPr>
        <w:spacing w:after="0" w:line="240" w:lineRule="auto"/>
      </w:pPr>
      <w:r>
        <w:separator/>
      </w:r>
    </w:p>
  </w:footnote>
  <w:footnote w:type="continuationSeparator" w:id="0">
    <w:p w14:paraId="18C0674E" w14:textId="77777777" w:rsidR="008C3E63" w:rsidRDefault="008C3E63" w:rsidP="0060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509B"/>
    <w:multiLevelType w:val="hybridMultilevel"/>
    <w:tmpl w:val="019AF37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74F3"/>
    <w:multiLevelType w:val="hybridMultilevel"/>
    <w:tmpl w:val="CCE28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6766F"/>
    <w:multiLevelType w:val="hybridMultilevel"/>
    <w:tmpl w:val="3D44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4300"/>
    <w:multiLevelType w:val="hybridMultilevel"/>
    <w:tmpl w:val="5380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297F94"/>
    <w:multiLevelType w:val="hybridMultilevel"/>
    <w:tmpl w:val="8AFC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D05"/>
    <w:multiLevelType w:val="hybridMultilevel"/>
    <w:tmpl w:val="6B561B78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141DA7"/>
    <w:rsid w:val="00153CB6"/>
    <w:rsid w:val="001E14C3"/>
    <w:rsid w:val="002B32F0"/>
    <w:rsid w:val="002D039C"/>
    <w:rsid w:val="002D4595"/>
    <w:rsid w:val="00301FAD"/>
    <w:rsid w:val="00316C4F"/>
    <w:rsid w:val="0048167A"/>
    <w:rsid w:val="004B4F82"/>
    <w:rsid w:val="0053544F"/>
    <w:rsid w:val="00557F2F"/>
    <w:rsid w:val="0060303B"/>
    <w:rsid w:val="00607D1C"/>
    <w:rsid w:val="00645F7A"/>
    <w:rsid w:val="006B2BC7"/>
    <w:rsid w:val="006C1259"/>
    <w:rsid w:val="007141B6"/>
    <w:rsid w:val="00730378"/>
    <w:rsid w:val="00742260"/>
    <w:rsid w:val="00747B6B"/>
    <w:rsid w:val="007541C4"/>
    <w:rsid w:val="00770C66"/>
    <w:rsid w:val="007A4A52"/>
    <w:rsid w:val="007A693F"/>
    <w:rsid w:val="008202A8"/>
    <w:rsid w:val="008336D9"/>
    <w:rsid w:val="008A570B"/>
    <w:rsid w:val="008C3E63"/>
    <w:rsid w:val="008C61B8"/>
    <w:rsid w:val="008D02C4"/>
    <w:rsid w:val="009022BC"/>
    <w:rsid w:val="00955696"/>
    <w:rsid w:val="009D2069"/>
    <w:rsid w:val="00A36037"/>
    <w:rsid w:val="00A711B5"/>
    <w:rsid w:val="00A83539"/>
    <w:rsid w:val="00A96507"/>
    <w:rsid w:val="00AB3B82"/>
    <w:rsid w:val="00AD0B24"/>
    <w:rsid w:val="00AF11C1"/>
    <w:rsid w:val="00B11DD9"/>
    <w:rsid w:val="00B211F2"/>
    <w:rsid w:val="00B84DB8"/>
    <w:rsid w:val="00B962A1"/>
    <w:rsid w:val="00BB6F3E"/>
    <w:rsid w:val="00BF2BCE"/>
    <w:rsid w:val="00BF6AD2"/>
    <w:rsid w:val="00C527A4"/>
    <w:rsid w:val="00C6530E"/>
    <w:rsid w:val="00C66295"/>
    <w:rsid w:val="00CA0A6F"/>
    <w:rsid w:val="00CC4212"/>
    <w:rsid w:val="00CE769F"/>
    <w:rsid w:val="00D07989"/>
    <w:rsid w:val="00D1223E"/>
    <w:rsid w:val="00D51F38"/>
    <w:rsid w:val="00E26E0E"/>
    <w:rsid w:val="00E856D5"/>
    <w:rsid w:val="00EC5221"/>
    <w:rsid w:val="00ED03B5"/>
    <w:rsid w:val="00FF37C0"/>
    <w:rsid w:val="00FF45E6"/>
    <w:rsid w:val="2D2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2E8A"/>
  <w15:docId w15:val="{40B258B6-E862-4782-9F9A-1BB0CFB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E0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  <w:style w:type="character" w:styleId="Hyperlink">
    <w:name w:val="Hyperlink"/>
    <w:semiHidden/>
    <w:unhideWhenUsed/>
    <w:rsid w:val="007303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26E0E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E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67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1DA7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6B2BC7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4384-17F7-4531-B4C8-76C9CCB0A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05FB6-5A6E-42D6-8194-344CC28FC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Huxtable</dc:creator>
  <cp:lastModifiedBy>Lisa Hull</cp:lastModifiedBy>
  <cp:revision>2</cp:revision>
  <dcterms:created xsi:type="dcterms:W3CDTF">2019-11-14T11:39:00Z</dcterms:created>
  <dcterms:modified xsi:type="dcterms:W3CDTF">2019-11-14T11:39:00Z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</Properties>
</file>